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9A82" w14:textId="2F31FB31" w:rsidR="00693D8F" w:rsidRDefault="005612C2" w:rsidP="00693D8F">
      <w:pPr>
        <w:spacing w:line="360" w:lineRule="auto"/>
        <w:rPr>
          <w:rFonts w:eastAsia="Calibri" w:cs="Times New Roman"/>
          <w:b/>
        </w:rPr>
      </w:pPr>
      <w:r w:rsidRPr="005612C2">
        <w:rPr>
          <w:rFonts w:eastAsia="Calibri" w:cs="Times New Roman"/>
          <w:b/>
        </w:rPr>
        <w:t>MUUSIKA- JA FILMIKULTUURI ARENDAMISE, KOOLITUS- JA TEADUSPROGRAMMIDE FINANTSEERIMISE VÕI ANALOOGSETE EESMÄRKIDE TOETUSEKS AUTORIÕIGUSE SEADUSE § 27 LG 10 ALUSEL SAADUD TASU KASUTAMISE ARUANNE</w:t>
      </w:r>
    </w:p>
    <w:p w14:paraId="26CD6D9A" w14:textId="77777777" w:rsidR="005612C2" w:rsidRPr="00B27F97" w:rsidRDefault="005612C2" w:rsidP="00693D8F">
      <w:pPr>
        <w:spacing w:line="360" w:lineRule="auto"/>
        <w:rPr>
          <w:rFonts w:cs="Times New Roman"/>
          <w:szCs w:val="24"/>
        </w:rPr>
      </w:pPr>
    </w:p>
    <w:p w14:paraId="012132FD" w14:textId="279BB1E4" w:rsidR="00693D8F" w:rsidRPr="00B27F97" w:rsidRDefault="00693D8F" w:rsidP="00693D8F">
      <w:pPr>
        <w:spacing w:line="360" w:lineRule="auto"/>
        <w:rPr>
          <w:rFonts w:cs="Times New Roman"/>
          <w:szCs w:val="24"/>
        </w:rPr>
      </w:pPr>
      <w:r w:rsidRPr="00B27F97">
        <w:rPr>
          <w:rFonts w:cs="Times New Roman"/>
          <w:szCs w:val="24"/>
        </w:rPr>
        <w:t xml:space="preserve">Täidetud ja digiallkirjastatud </w:t>
      </w:r>
      <w:r>
        <w:rPr>
          <w:rFonts w:cs="Times New Roman"/>
          <w:szCs w:val="24"/>
        </w:rPr>
        <w:t>aruanne</w:t>
      </w:r>
      <w:r w:rsidRPr="00B27F97">
        <w:rPr>
          <w:rFonts w:cs="Times New Roman"/>
          <w:szCs w:val="24"/>
        </w:rPr>
        <w:t xml:space="preserve"> palume saata hiljemalt </w:t>
      </w:r>
      <w:r>
        <w:rPr>
          <w:rFonts w:cs="Times New Roman"/>
          <w:szCs w:val="24"/>
        </w:rPr>
        <w:t>2 kuu jooksul peale projekti lõppemist</w:t>
      </w:r>
      <w:r w:rsidRPr="00B27F97">
        <w:rPr>
          <w:rFonts w:cs="Times New Roman"/>
          <w:szCs w:val="24"/>
        </w:rPr>
        <w:t xml:space="preserve"> </w:t>
      </w:r>
      <w:hyperlink r:id="rId5" w:history="1">
        <w:r w:rsidRPr="00CE3586">
          <w:rPr>
            <w:rStyle w:val="Hyperlink"/>
            <w:rFonts w:cs="Times New Roman"/>
            <w:szCs w:val="24"/>
          </w:rPr>
          <w:t>info@just.ee</w:t>
        </w:r>
      </w:hyperlink>
      <w:r w:rsidRPr="00B27F97">
        <w:rPr>
          <w:rFonts w:cs="Times New Roman"/>
          <w:szCs w:val="24"/>
        </w:rPr>
        <w:t>.</w:t>
      </w:r>
      <w:r>
        <w:rPr>
          <w:rFonts w:cs="Times New Roman"/>
          <w:szCs w:val="24"/>
        </w:rPr>
        <w:t xml:space="preserve"> </w:t>
      </w:r>
      <w:r w:rsidRPr="004A298F">
        <w:rPr>
          <w:rFonts w:cs="Times New Roman"/>
          <w:szCs w:val="24"/>
        </w:rPr>
        <w:t>A</w:t>
      </w:r>
      <w:r>
        <w:rPr>
          <w:rFonts w:cs="Times New Roman"/>
          <w:szCs w:val="24"/>
        </w:rPr>
        <w:t xml:space="preserve">ruande esitamisel palume lähtuda vormist </w:t>
      </w:r>
      <w:proofErr w:type="spellStart"/>
      <w:r w:rsidRPr="004A298F">
        <w:rPr>
          <w:rFonts w:cs="Times New Roman"/>
          <w:b/>
          <w:szCs w:val="24"/>
        </w:rPr>
        <w:t>IOT_aruanne</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p>
    <w:p w14:paraId="71ADCB81" w14:textId="77777777" w:rsidR="00693D8F" w:rsidRDefault="00693D8F" w:rsidP="00693D8F">
      <w:pPr>
        <w:spacing w:line="360" w:lineRule="auto"/>
        <w:rPr>
          <w:rFonts w:cs="Times New Roman"/>
          <w:szCs w:val="24"/>
        </w:rPr>
      </w:pPr>
    </w:p>
    <w:p w14:paraId="33650B87" w14:textId="77777777" w:rsidR="00693D8F" w:rsidRPr="00B27F97" w:rsidRDefault="00693D8F" w:rsidP="00693D8F">
      <w:pPr>
        <w:spacing w:line="360" w:lineRule="auto"/>
        <w:rPr>
          <w:rFonts w:cs="Times New Roman"/>
          <w:b/>
          <w:szCs w:val="24"/>
        </w:rPr>
      </w:pPr>
      <w:r w:rsidRPr="00B27F97">
        <w:rPr>
          <w:rFonts w:cs="Times New Roman"/>
          <w:b/>
          <w:szCs w:val="24"/>
        </w:rPr>
        <w:t>ÜLDINFO</w:t>
      </w:r>
    </w:p>
    <w:tbl>
      <w:tblPr>
        <w:tblStyle w:val="TableGrid"/>
        <w:tblW w:w="0" w:type="auto"/>
        <w:tblLook w:val="04A0" w:firstRow="1" w:lastRow="0" w:firstColumn="1" w:lastColumn="0" w:noHBand="0" w:noVBand="1"/>
      </w:tblPr>
      <w:tblGrid>
        <w:gridCol w:w="3256"/>
        <w:gridCol w:w="5806"/>
      </w:tblGrid>
      <w:tr w:rsidR="00693D8F" w14:paraId="6F212EF0" w14:textId="77777777" w:rsidTr="001518E0">
        <w:tc>
          <w:tcPr>
            <w:tcW w:w="3256" w:type="dxa"/>
          </w:tcPr>
          <w:p w14:paraId="04133FA5" w14:textId="2DD8217D" w:rsidR="00693D8F" w:rsidRPr="00B27F97" w:rsidRDefault="00693D8F" w:rsidP="004A5EFC">
            <w:pPr>
              <w:spacing w:line="360" w:lineRule="auto"/>
              <w:rPr>
                <w:rFonts w:cs="Times New Roman"/>
                <w:szCs w:val="24"/>
              </w:rPr>
            </w:pPr>
            <w:r>
              <w:rPr>
                <w:rFonts w:cs="Times New Roman"/>
                <w:szCs w:val="24"/>
              </w:rPr>
              <w:t>Projekti nimi</w:t>
            </w:r>
          </w:p>
        </w:tc>
        <w:tc>
          <w:tcPr>
            <w:tcW w:w="5806" w:type="dxa"/>
          </w:tcPr>
          <w:p w14:paraId="717D4DDE" w14:textId="25096531" w:rsidR="00693D8F" w:rsidRPr="001518E0" w:rsidRDefault="00CA7705" w:rsidP="00CC785E">
            <w:pPr>
              <w:spacing w:line="360" w:lineRule="auto"/>
              <w:jc w:val="left"/>
              <w:rPr>
                <w:rFonts w:cs="Times New Roman"/>
                <w:b/>
                <w:bCs/>
                <w:szCs w:val="24"/>
              </w:rPr>
            </w:pPr>
            <w:r w:rsidRPr="001518E0">
              <w:rPr>
                <w:b/>
                <w:bCs/>
              </w:rPr>
              <w:t>Erialaseminar</w:t>
            </w:r>
            <w:r w:rsidR="00995622">
              <w:rPr>
                <w:b/>
                <w:bCs/>
              </w:rPr>
              <w:t>i korraldamine</w:t>
            </w:r>
          </w:p>
        </w:tc>
      </w:tr>
      <w:tr w:rsidR="00693D8F" w14:paraId="19D98323" w14:textId="77777777" w:rsidTr="001518E0">
        <w:tc>
          <w:tcPr>
            <w:tcW w:w="3256" w:type="dxa"/>
          </w:tcPr>
          <w:p w14:paraId="5081BEDF" w14:textId="578994A5" w:rsidR="00CC785E" w:rsidRDefault="00693D8F" w:rsidP="004A5EFC">
            <w:pPr>
              <w:spacing w:line="360" w:lineRule="auto"/>
              <w:rPr>
                <w:rFonts w:cs="Times New Roman"/>
                <w:szCs w:val="24"/>
              </w:rPr>
            </w:pPr>
            <w:r>
              <w:rPr>
                <w:rFonts w:cs="Times New Roman"/>
                <w:szCs w:val="24"/>
              </w:rPr>
              <w:t>Organisatsiooni nimi</w:t>
            </w:r>
          </w:p>
        </w:tc>
        <w:tc>
          <w:tcPr>
            <w:tcW w:w="5806" w:type="dxa"/>
          </w:tcPr>
          <w:p w14:paraId="1C844861" w14:textId="4DC4D1AD" w:rsidR="00693D8F" w:rsidRDefault="00CC785E" w:rsidP="00CC785E">
            <w:pPr>
              <w:spacing w:line="360" w:lineRule="auto"/>
              <w:jc w:val="left"/>
              <w:rPr>
                <w:rFonts w:cs="Times New Roman"/>
                <w:b/>
                <w:szCs w:val="24"/>
              </w:rPr>
            </w:pPr>
            <w:r>
              <w:rPr>
                <w:rFonts w:cs="Times New Roman"/>
                <w:b/>
                <w:szCs w:val="24"/>
              </w:rPr>
              <w:t>MTÜ Eesti Filmitööstuse Klaster</w:t>
            </w:r>
          </w:p>
        </w:tc>
      </w:tr>
      <w:tr w:rsidR="00693D8F" w14:paraId="7FF75D7E" w14:textId="77777777" w:rsidTr="001518E0">
        <w:tc>
          <w:tcPr>
            <w:tcW w:w="3256" w:type="dxa"/>
          </w:tcPr>
          <w:p w14:paraId="48889DA5" w14:textId="77777777" w:rsidR="00693D8F" w:rsidRPr="00B27F97" w:rsidRDefault="00693D8F" w:rsidP="004A5EFC">
            <w:pPr>
              <w:spacing w:line="360" w:lineRule="auto"/>
              <w:rPr>
                <w:rFonts w:cs="Times New Roman"/>
                <w:szCs w:val="24"/>
              </w:rPr>
            </w:pPr>
            <w:r>
              <w:rPr>
                <w:rFonts w:cs="Times New Roman"/>
                <w:szCs w:val="24"/>
              </w:rPr>
              <w:t>Avalduse alusel saadud summa</w:t>
            </w:r>
          </w:p>
        </w:tc>
        <w:tc>
          <w:tcPr>
            <w:tcW w:w="5806" w:type="dxa"/>
          </w:tcPr>
          <w:p w14:paraId="3C14AB2B" w14:textId="1EB46A31" w:rsidR="00693D8F" w:rsidRDefault="00CA7705" w:rsidP="00CC785E">
            <w:pPr>
              <w:spacing w:line="360" w:lineRule="auto"/>
              <w:jc w:val="left"/>
              <w:rPr>
                <w:rFonts w:cs="Times New Roman"/>
                <w:b/>
                <w:szCs w:val="24"/>
              </w:rPr>
            </w:pPr>
            <w:r>
              <w:rPr>
                <w:rFonts w:cs="Times New Roman"/>
                <w:b/>
                <w:szCs w:val="24"/>
              </w:rPr>
              <w:t>2 750</w:t>
            </w:r>
            <w:r w:rsidR="00CC785E">
              <w:rPr>
                <w:rFonts w:cs="Times New Roman"/>
                <w:b/>
                <w:szCs w:val="24"/>
              </w:rPr>
              <w:t xml:space="preserve"> eurot</w:t>
            </w:r>
          </w:p>
        </w:tc>
      </w:tr>
    </w:tbl>
    <w:p w14:paraId="4FCAB8E9" w14:textId="77777777" w:rsidR="00693D8F" w:rsidRDefault="00693D8F" w:rsidP="00693D8F">
      <w:pPr>
        <w:spacing w:line="360" w:lineRule="auto"/>
        <w:rPr>
          <w:rFonts w:cs="Times New Roman"/>
          <w:b/>
          <w:szCs w:val="24"/>
        </w:rPr>
      </w:pPr>
    </w:p>
    <w:p w14:paraId="2F24B284" w14:textId="77777777" w:rsidR="00693D8F" w:rsidRPr="00B27F97" w:rsidRDefault="00693D8F" w:rsidP="00693D8F">
      <w:pPr>
        <w:spacing w:line="360" w:lineRule="auto"/>
        <w:rPr>
          <w:rFonts w:cs="Times New Roman"/>
          <w:b/>
          <w:szCs w:val="24"/>
        </w:rPr>
      </w:pPr>
      <w:r>
        <w:rPr>
          <w:rFonts w:cs="Times New Roman"/>
          <w:b/>
          <w:szCs w:val="24"/>
        </w:rPr>
        <w:t>TAOTLEJA ANDMED</w:t>
      </w:r>
    </w:p>
    <w:tbl>
      <w:tblPr>
        <w:tblStyle w:val="TableGrid"/>
        <w:tblW w:w="0" w:type="auto"/>
        <w:tblLook w:val="04A0" w:firstRow="1" w:lastRow="0" w:firstColumn="1" w:lastColumn="0" w:noHBand="0" w:noVBand="1"/>
      </w:tblPr>
      <w:tblGrid>
        <w:gridCol w:w="3256"/>
        <w:gridCol w:w="5806"/>
      </w:tblGrid>
      <w:tr w:rsidR="00693D8F" w14:paraId="6FFD45A2" w14:textId="77777777" w:rsidTr="004A5EFC">
        <w:tc>
          <w:tcPr>
            <w:tcW w:w="3256" w:type="dxa"/>
          </w:tcPr>
          <w:p w14:paraId="2DE12CB3" w14:textId="77777777" w:rsidR="00693D8F" w:rsidRDefault="00693D8F" w:rsidP="004A5EFC">
            <w:pPr>
              <w:spacing w:line="360" w:lineRule="auto"/>
              <w:rPr>
                <w:rFonts w:cs="Times New Roman"/>
                <w:szCs w:val="24"/>
              </w:rPr>
            </w:pPr>
            <w:r>
              <w:rPr>
                <w:rFonts w:cs="Times New Roman"/>
                <w:szCs w:val="24"/>
              </w:rPr>
              <w:t>Esindaja ees- ja perekonnanimi</w:t>
            </w:r>
          </w:p>
        </w:tc>
        <w:tc>
          <w:tcPr>
            <w:tcW w:w="5806" w:type="dxa"/>
          </w:tcPr>
          <w:p w14:paraId="327C9217" w14:textId="53EE1DA1" w:rsidR="00693D8F" w:rsidRDefault="001518E0" w:rsidP="004A5EFC">
            <w:pPr>
              <w:spacing w:line="360" w:lineRule="auto"/>
              <w:rPr>
                <w:rFonts w:cs="Times New Roman"/>
                <w:szCs w:val="24"/>
              </w:rPr>
            </w:pPr>
            <w:r>
              <w:rPr>
                <w:rFonts w:cs="Times New Roman"/>
                <w:szCs w:val="24"/>
              </w:rPr>
              <w:t>Piret Tibbo-Hudgins</w:t>
            </w:r>
          </w:p>
        </w:tc>
      </w:tr>
      <w:tr w:rsidR="00693D8F" w14:paraId="7BCE9DA2" w14:textId="77777777" w:rsidTr="004A5EFC">
        <w:tc>
          <w:tcPr>
            <w:tcW w:w="3256" w:type="dxa"/>
          </w:tcPr>
          <w:p w14:paraId="62654A6A" w14:textId="77777777" w:rsidR="00693D8F" w:rsidRDefault="00693D8F" w:rsidP="004A5EFC">
            <w:pPr>
              <w:spacing w:line="360" w:lineRule="auto"/>
              <w:rPr>
                <w:rFonts w:cs="Times New Roman"/>
                <w:szCs w:val="24"/>
              </w:rPr>
            </w:pPr>
            <w:r>
              <w:rPr>
                <w:rFonts w:cs="Times New Roman"/>
                <w:szCs w:val="24"/>
              </w:rPr>
              <w:t>Kontakttelefon</w:t>
            </w:r>
          </w:p>
        </w:tc>
        <w:tc>
          <w:tcPr>
            <w:tcW w:w="5806" w:type="dxa"/>
          </w:tcPr>
          <w:p w14:paraId="62E4BA5E" w14:textId="3487283F" w:rsidR="00693D8F" w:rsidRDefault="001518E0" w:rsidP="004A5EFC">
            <w:pPr>
              <w:spacing w:line="360" w:lineRule="auto"/>
              <w:rPr>
                <w:rFonts w:cs="Times New Roman"/>
                <w:szCs w:val="24"/>
              </w:rPr>
            </w:pPr>
            <w:r>
              <w:rPr>
                <w:rFonts w:cs="Times New Roman"/>
                <w:szCs w:val="24"/>
              </w:rPr>
              <w:t>56 467 769</w:t>
            </w:r>
          </w:p>
        </w:tc>
      </w:tr>
      <w:tr w:rsidR="00693D8F" w14:paraId="574CE83B" w14:textId="77777777" w:rsidTr="004A5EFC">
        <w:tc>
          <w:tcPr>
            <w:tcW w:w="3256" w:type="dxa"/>
          </w:tcPr>
          <w:p w14:paraId="408248DC" w14:textId="77777777" w:rsidR="00693D8F" w:rsidRDefault="00693D8F" w:rsidP="004A5EFC">
            <w:pPr>
              <w:spacing w:line="360" w:lineRule="auto"/>
              <w:rPr>
                <w:rFonts w:cs="Times New Roman"/>
                <w:szCs w:val="24"/>
              </w:rPr>
            </w:pPr>
            <w:r>
              <w:rPr>
                <w:rFonts w:cs="Times New Roman"/>
                <w:szCs w:val="24"/>
              </w:rPr>
              <w:t>E-posti aadress</w:t>
            </w:r>
          </w:p>
        </w:tc>
        <w:tc>
          <w:tcPr>
            <w:tcW w:w="5806" w:type="dxa"/>
          </w:tcPr>
          <w:p w14:paraId="6132073F" w14:textId="75666AC9" w:rsidR="00693D8F" w:rsidRDefault="001518E0" w:rsidP="004A5EFC">
            <w:pPr>
              <w:spacing w:line="360" w:lineRule="auto"/>
              <w:rPr>
                <w:rFonts w:cs="Times New Roman"/>
                <w:szCs w:val="24"/>
              </w:rPr>
            </w:pPr>
            <w:r>
              <w:rPr>
                <w:rFonts w:cs="Times New Roman"/>
                <w:szCs w:val="24"/>
              </w:rPr>
              <w:t>piret.tibbo.hudgins</w:t>
            </w:r>
            <w:r w:rsidR="00CC785E">
              <w:rPr>
                <w:rFonts w:cs="Times New Roman"/>
                <w:szCs w:val="24"/>
              </w:rPr>
              <w:t>@gmail.com</w:t>
            </w:r>
          </w:p>
        </w:tc>
      </w:tr>
    </w:tbl>
    <w:p w14:paraId="3C76124D" w14:textId="77777777" w:rsidR="00693D8F" w:rsidRDefault="00693D8F" w:rsidP="00693D8F">
      <w:pPr>
        <w:spacing w:line="360" w:lineRule="auto"/>
        <w:rPr>
          <w:rFonts w:cs="Times New Roman"/>
          <w:b/>
          <w:szCs w:val="24"/>
        </w:rPr>
      </w:pPr>
    </w:p>
    <w:p w14:paraId="20961A52" w14:textId="4174A325" w:rsidR="00693D8F" w:rsidRDefault="00693D8F" w:rsidP="001518E0">
      <w:pPr>
        <w:rPr>
          <w:rFonts w:cs="Times New Roman"/>
          <w:b/>
          <w:szCs w:val="24"/>
        </w:rPr>
      </w:pPr>
      <w:r w:rsidRPr="00B27F97">
        <w:rPr>
          <w:rFonts w:cs="Times New Roman"/>
          <w:b/>
          <w:szCs w:val="24"/>
        </w:rPr>
        <w:t>PROJEKT</w:t>
      </w:r>
    </w:p>
    <w:p w14:paraId="397C6DB1" w14:textId="77777777" w:rsidR="00693D8F" w:rsidRDefault="00693D8F" w:rsidP="00693D8F">
      <w:pPr>
        <w:spacing w:line="240" w:lineRule="auto"/>
        <w:rPr>
          <w:rFonts w:cs="Times New Roman"/>
          <w:i/>
          <w:iCs/>
          <w:szCs w:val="24"/>
        </w:rPr>
      </w:pPr>
      <w:r>
        <w:rPr>
          <w:rFonts w:cs="Times New Roman"/>
          <w:szCs w:val="24"/>
        </w:rPr>
        <w:t>Projekti toimumise aeg</w:t>
      </w:r>
    </w:p>
    <w:tbl>
      <w:tblPr>
        <w:tblStyle w:val="TableGrid"/>
        <w:tblW w:w="0" w:type="auto"/>
        <w:tblLook w:val="04A0" w:firstRow="1" w:lastRow="0" w:firstColumn="1" w:lastColumn="0" w:noHBand="0" w:noVBand="1"/>
      </w:tblPr>
      <w:tblGrid>
        <w:gridCol w:w="9062"/>
      </w:tblGrid>
      <w:tr w:rsidR="00693D8F" w14:paraId="4C51F3AB" w14:textId="77777777" w:rsidTr="004A5EFC">
        <w:tc>
          <w:tcPr>
            <w:tcW w:w="9062" w:type="dxa"/>
          </w:tcPr>
          <w:p w14:paraId="22A26D90" w14:textId="0F2B9611" w:rsidR="00354DA5" w:rsidRDefault="002C6797" w:rsidP="004A5EFC">
            <w:pPr>
              <w:spacing w:line="360" w:lineRule="auto"/>
              <w:rPr>
                <w:rFonts w:cs="Times New Roman"/>
                <w:szCs w:val="24"/>
              </w:rPr>
            </w:pPr>
            <w:r>
              <w:rPr>
                <w:rFonts w:cs="Times New Roman"/>
                <w:szCs w:val="24"/>
              </w:rPr>
              <w:t xml:space="preserve">13. september ja 27. oktoober 2022. a. </w:t>
            </w:r>
          </w:p>
        </w:tc>
      </w:tr>
    </w:tbl>
    <w:p w14:paraId="7EFDD676" w14:textId="77777777" w:rsidR="00693D8F" w:rsidRPr="00524DCD" w:rsidRDefault="00693D8F" w:rsidP="00693D8F">
      <w:pPr>
        <w:spacing w:line="360" w:lineRule="auto"/>
        <w:rPr>
          <w:rFonts w:cs="Times New Roman"/>
          <w:szCs w:val="24"/>
        </w:rPr>
      </w:pPr>
    </w:p>
    <w:p w14:paraId="6B1969EC" w14:textId="77777777" w:rsidR="00693D8F" w:rsidRDefault="00693D8F" w:rsidP="00693D8F">
      <w:pPr>
        <w:spacing w:line="240" w:lineRule="auto"/>
        <w:rPr>
          <w:rFonts w:cs="Times New Roman"/>
          <w:szCs w:val="24"/>
        </w:rPr>
      </w:pPr>
      <w:r>
        <w:rPr>
          <w:rFonts w:cs="Times New Roman"/>
          <w:szCs w:val="24"/>
        </w:rPr>
        <w:t>Projekti toimumise lühikokkuvõte ja saavutatud tulemused</w:t>
      </w:r>
    </w:p>
    <w:tbl>
      <w:tblPr>
        <w:tblStyle w:val="TableGrid"/>
        <w:tblW w:w="0" w:type="auto"/>
        <w:tblLook w:val="04A0" w:firstRow="1" w:lastRow="0" w:firstColumn="1" w:lastColumn="0" w:noHBand="0" w:noVBand="1"/>
      </w:tblPr>
      <w:tblGrid>
        <w:gridCol w:w="9062"/>
      </w:tblGrid>
      <w:tr w:rsidR="00693D8F" w14:paraId="1ED6095E" w14:textId="77777777" w:rsidTr="004A5EFC">
        <w:tc>
          <w:tcPr>
            <w:tcW w:w="9062" w:type="dxa"/>
          </w:tcPr>
          <w:p w14:paraId="635B175F" w14:textId="77777777" w:rsidR="008C6F14" w:rsidRPr="00096F74" w:rsidRDefault="008C6F14" w:rsidP="008C6F14">
            <w:pPr>
              <w:shd w:val="clear" w:color="auto" w:fill="FFFFFF"/>
              <w:rPr>
                <w:rFonts w:eastAsia="Times New Roman" w:cstheme="minorHAnsi"/>
                <w:color w:val="222222"/>
                <w:szCs w:val="24"/>
                <w:lang w:eastAsia="et-EE"/>
              </w:rPr>
            </w:pPr>
            <w:r w:rsidRPr="00452AC0">
              <w:rPr>
                <w:rFonts w:eastAsia="Times New Roman" w:cstheme="minorHAnsi"/>
                <w:b/>
                <w:bCs/>
                <w:color w:val="222222"/>
                <w:szCs w:val="24"/>
                <w:lang w:eastAsia="et-EE"/>
              </w:rPr>
              <w:t>Seminari lähteülesan</w:t>
            </w:r>
            <w:r w:rsidRPr="00096F74">
              <w:rPr>
                <w:rFonts w:eastAsia="Times New Roman" w:cstheme="minorHAnsi"/>
                <w:b/>
                <w:bCs/>
                <w:color w:val="222222"/>
                <w:szCs w:val="24"/>
                <w:lang w:eastAsia="et-EE"/>
              </w:rPr>
              <w:t>ne</w:t>
            </w:r>
            <w:r w:rsidRPr="00096F74">
              <w:rPr>
                <w:rFonts w:eastAsia="Times New Roman" w:cstheme="minorHAnsi"/>
                <w:color w:val="222222"/>
                <w:szCs w:val="24"/>
                <w:lang w:eastAsia="et-EE"/>
              </w:rPr>
              <w:t xml:space="preserve">: </w:t>
            </w:r>
            <w:r w:rsidRPr="00096F74">
              <w:rPr>
                <w:rFonts w:eastAsia="Times New Roman" w:cstheme="minorHAnsi"/>
                <w:b/>
                <w:bCs/>
                <w:color w:val="222222"/>
                <w:szCs w:val="24"/>
                <w:lang w:eastAsia="et-EE"/>
              </w:rPr>
              <w:t>A</w:t>
            </w:r>
            <w:r w:rsidRPr="00CA4EEB">
              <w:rPr>
                <w:rFonts w:eastAsia="Times New Roman" w:cstheme="minorHAnsi"/>
                <w:b/>
                <w:bCs/>
                <w:color w:val="222222"/>
                <w:szCs w:val="24"/>
                <w:lang w:eastAsia="et-EE"/>
              </w:rPr>
              <w:t>utoriõigus</w:t>
            </w:r>
            <w:r w:rsidRPr="00096F74">
              <w:rPr>
                <w:rFonts w:eastAsia="Times New Roman" w:cstheme="minorHAnsi"/>
                <w:b/>
                <w:bCs/>
                <w:color w:val="222222"/>
                <w:szCs w:val="24"/>
                <w:lang w:eastAsia="et-EE"/>
              </w:rPr>
              <w:t xml:space="preserve">e </w:t>
            </w:r>
            <w:r w:rsidRPr="00CA4EEB">
              <w:rPr>
                <w:rFonts w:eastAsia="Times New Roman" w:cstheme="minorHAnsi"/>
                <w:b/>
                <w:bCs/>
                <w:color w:val="222222"/>
                <w:szCs w:val="24"/>
                <w:lang w:eastAsia="et-EE"/>
              </w:rPr>
              <w:t>seadusest tulenev autorite teavitamise kohustus</w:t>
            </w:r>
            <w:r w:rsidRPr="00096F74">
              <w:rPr>
                <w:rFonts w:eastAsia="Times New Roman" w:cstheme="minorHAnsi"/>
                <w:b/>
                <w:bCs/>
                <w:color w:val="222222"/>
                <w:szCs w:val="24"/>
                <w:lang w:eastAsia="et-EE"/>
              </w:rPr>
              <w:t>e</w:t>
            </w:r>
            <w:r>
              <w:rPr>
                <w:rFonts w:eastAsia="Times New Roman" w:cstheme="minorHAnsi"/>
                <w:b/>
                <w:bCs/>
                <w:color w:val="222222"/>
                <w:szCs w:val="24"/>
                <w:lang w:eastAsia="et-EE"/>
              </w:rPr>
              <w:t xml:space="preserve"> selgitamine filmitootjatele ja mõistliku teavitamisvormi loomine</w:t>
            </w:r>
            <w:r w:rsidRPr="00CA4EEB">
              <w:rPr>
                <w:rFonts w:eastAsia="Times New Roman" w:cstheme="minorHAnsi"/>
                <w:b/>
                <w:bCs/>
                <w:color w:val="222222"/>
                <w:szCs w:val="24"/>
                <w:lang w:eastAsia="et-EE"/>
              </w:rPr>
              <w:t>.</w:t>
            </w:r>
          </w:p>
          <w:p w14:paraId="7D1BADBA" w14:textId="77777777" w:rsidR="000D3669" w:rsidRDefault="000D3669" w:rsidP="008C6F14">
            <w:pPr>
              <w:shd w:val="clear" w:color="auto" w:fill="FFFFFF"/>
              <w:rPr>
                <w:rFonts w:eastAsia="Times New Roman" w:cstheme="minorHAnsi"/>
                <w:color w:val="222222"/>
                <w:szCs w:val="24"/>
                <w:lang w:eastAsia="et-EE"/>
              </w:rPr>
            </w:pPr>
          </w:p>
          <w:p w14:paraId="389C7519" w14:textId="6E097D60" w:rsidR="008C6F14" w:rsidRPr="00CA4EEB" w:rsidRDefault="008C6F14" w:rsidP="008C6F14">
            <w:pPr>
              <w:shd w:val="clear" w:color="auto" w:fill="FFFFFF"/>
              <w:rPr>
                <w:rFonts w:eastAsia="Times New Roman" w:cstheme="minorHAnsi"/>
                <w:color w:val="222222"/>
                <w:szCs w:val="24"/>
                <w:lang w:eastAsia="et-EE"/>
              </w:rPr>
            </w:pPr>
            <w:r w:rsidRPr="00CA4EEB">
              <w:rPr>
                <w:rFonts w:eastAsia="Times New Roman" w:cstheme="minorHAnsi"/>
                <w:color w:val="222222"/>
                <w:szCs w:val="24"/>
                <w:lang w:eastAsia="et-EE"/>
              </w:rPr>
              <w:t>Võttes arvesse, et seadus võimaldab arvestada teavitamiskohustuse täimisel tegevus- või kutseala tavasid ja praktikat, o</w:t>
            </w:r>
            <w:r>
              <w:rPr>
                <w:rFonts w:eastAsia="Times New Roman" w:cstheme="minorHAnsi"/>
                <w:color w:val="222222"/>
                <w:szCs w:val="24"/>
                <w:lang w:eastAsia="et-EE"/>
              </w:rPr>
              <w:t>li seminari</w:t>
            </w:r>
            <w:r w:rsidRPr="00CA4EEB">
              <w:rPr>
                <w:rFonts w:eastAsia="Times New Roman" w:cstheme="minorHAnsi"/>
                <w:color w:val="222222"/>
                <w:szCs w:val="24"/>
                <w:lang w:eastAsia="et-EE"/>
              </w:rPr>
              <w:t xml:space="preserve"> eesmärk töötada välja Eesti Filmitööstuse Klastri liikmete ühine hea tava, mis käsitleb minimaalselt järgmist:</w:t>
            </w:r>
          </w:p>
          <w:p w14:paraId="654514E6" w14:textId="77777777" w:rsidR="008C6F14" w:rsidRPr="00CA4EEB" w:rsidRDefault="008C6F14" w:rsidP="008C6F14">
            <w:pPr>
              <w:numPr>
                <w:ilvl w:val="0"/>
                <w:numId w:val="4"/>
              </w:numPr>
              <w:shd w:val="clear" w:color="auto" w:fill="FFFFFF"/>
              <w:ind w:left="816"/>
              <w:jc w:val="left"/>
              <w:rPr>
                <w:rFonts w:eastAsia="Times New Roman" w:cstheme="minorHAnsi"/>
                <w:color w:val="222222"/>
                <w:szCs w:val="24"/>
                <w:lang w:eastAsia="et-EE"/>
              </w:rPr>
            </w:pPr>
            <w:r w:rsidRPr="00CA4EEB">
              <w:rPr>
                <w:rFonts w:eastAsia="Times New Roman" w:cstheme="minorHAnsi"/>
                <w:color w:val="222222"/>
                <w:szCs w:val="24"/>
                <w:lang w:eastAsia="et-EE"/>
              </w:rPr>
              <w:lastRenderedPageBreak/>
              <w:t>millist liiki ja millisel tasemel teabe esitamist võivad autorid ja esitajad mõistlikult eeldada (ehk millist teavet hakkavad klastri liikmed teavitamiskohustuse adressaatidele esitama)</w:t>
            </w:r>
            <w:r>
              <w:rPr>
                <w:rFonts w:eastAsia="Times New Roman" w:cstheme="minorHAnsi"/>
                <w:color w:val="222222"/>
                <w:szCs w:val="24"/>
                <w:lang w:eastAsia="et-EE"/>
              </w:rPr>
              <w:t>;</w:t>
            </w:r>
            <w:r w:rsidRPr="00CA4EEB">
              <w:rPr>
                <w:rFonts w:eastAsia="Times New Roman" w:cstheme="minorHAnsi"/>
                <w:color w:val="222222"/>
                <w:szCs w:val="24"/>
                <w:lang w:eastAsia="et-EE"/>
              </w:rPr>
              <w:t> </w:t>
            </w:r>
          </w:p>
          <w:p w14:paraId="263FAD13" w14:textId="77777777" w:rsidR="008C6F14" w:rsidRDefault="008C6F14" w:rsidP="008C6F14">
            <w:pPr>
              <w:numPr>
                <w:ilvl w:val="0"/>
                <w:numId w:val="4"/>
              </w:numPr>
              <w:shd w:val="clear" w:color="auto" w:fill="FFFFFF"/>
              <w:ind w:left="816"/>
              <w:jc w:val="left"/>
              <w:rPr>
                <w:rFonts w:eastAsia="Times New Roman" w:cstheme="minorHAnsi"/>
                <w:color w:val="222222"/>
                <w:szCs w:val="24"/>
                <w:lang w:eastAsia="et-EE"/>
              </w:rPr>
            </w:pPr>
            <w:r w:rsidRPr="00CA4EEB">
              <w:rPr>
                <w:rFonts w:eastAsia="Times New Roman" w:cstheme="minorHAnsi"/>
                <w:color w:val="222222"/>
                <w:szCs w:val="24"/>
                <w:lang w:eastAsia="et-EE"/>
              </w:rPr>
              <w:t>milliste autorite ja esitajate panus ei ole käsitletav märkimisväärsena (ehk milliste autorite ja esitajate suhtes võetakse ühine seisukoht, et nemad ei ole teavitamiskohustuse adressaatideks).</w:t>
            </w:r>
          </w:p>
          <w:p w14:paraId="73DF6C7E" w14:textId="77777777" w:rsidR="008C6F14" w:rsidRDefault="008C6F14" w:rsidP="008C6F14">
            <w:pPr>
              <w:shd w:val="clear" w:color="auto" w:fill="FFFFFF"/>
              <w:rPr>
                <w:rFonts w:eastAsia="Times New Roman" w:cstheme="minorHAnsi"/>
                <w:color w:val="222222"/>
                <w:szCs w:val="24"/>
                <w:lang w:eastAsia="et-EE"/>
              </w:rPr>
            </w:pPr>
          </w:p>
          <w:p w14:paraId="5D521F9F" w14:textId="47DEC6AD" w:rsidR="008C6F14" w:rsidRPr="00452AC0" w:rsidRDefault="008C6F14" w:rsidP="008C6F14">
            <w:pPr>
              <w:shd w:val="clear" w:color="auto" w:fill="FFFFFF"/>
              <w:rPr>
                <w:rFonts w:eastAsia="Times New Roman" w:cstheme="minorHAnsi"/>
                <w:color w:val="222222"/>
                <w:szCs w:val="24"/>
                <w:lang w:eastAsia="et-EE"/>
              </w:rPr>
            </w:pPr>
            <w:r>
              <w:rPr>
                <w:rFonts w:eastAsia="Times New Roman" w:cstheme="minorHAnsi"/>
                <w:color w:val="222222"/>
                <w:szCs w:val="24"/>
                <w:lang w:eastAsia="et-EE"/>
              </w:rPr>
              <w:t>Seminar koosnes kahest töötoast. Advokaadibüroo Sorainen konsulteerimisel arutati,</w:t>
            </w:r>
            <w:r w:rsidR="000D3669">
              <w:rPr>
                <w:rFonts w:eastAsia="Times New Roman" w:cstheme="minorHAnsi"/>
                <w:color w:val="222222"/>
                <w:szCs w:val="24"/>
                <w:lang w:eastAsia="et-EE"/>
              </w:rPr>
              <w:t xml:space="preserve"> </w:t>
            </w:r>
            <w:r>
              <w:rPr>
                <w:rFonts w:eastAsia="Times New Roman" w:cstheme="minorHAnsi"/>
                <w:color w:val="222222"/>
                <w:szCs w:val="24"/>
                <w:lang w:eastAsia="et-EE"/>
              </w:rPr>
              <w:t xml:space="preserve">et </w:t>
            </w:r>
            <w:r w:rsidRPr="00452AC0">
              <w:rPr>
                <w:rFonts w:eastAsia="Times New Roman" w:cstheme="minorHAnsi"/>
                <w:color w:val="222222"/>
                <w:szCs w:val="24"/>
                <w:lang w:eastAsia="et-EE"/>
              </w:rPr>
              <w:t>Autoriõiguse seadusest tuleneva teavitamiskohustuse kohaselt on autorilepingu alusel teost või esitust kasutav isik või tema õigusjärglane kohustatud autorile ja esitajale või nende esindajale kirjalikku taasesitamist võimaldavas vormis andma vähemalt kord aastas õigeaegset, asjakohast ja piisavat teavet teose ja esituse kasutamise, eelkõige kasutusviiside, kogu saadud tulu ja autori või esitaja saadaoleva tasu kohta.</w:t>
            </w:r>
          </w:p>
          <w:p w14:paraId="32940EB9" w14:textId="77777777" w:rsidR="008C6F14" w:rsidRPr="00452AC0" w:rsidRDefault="008C6F14" w:rsidP="008C6F14">
            <w:pPr>
              <w:shd w:val="clear" w:color="auto" w:fill="FFFFFF"/>
              <w:rPr>
                <w:rFonts w:eastAsia="Times New Roman" w:cstheme="minorHAnsi"/>
                <w:color w:val="222222"/>
                <w:szCs w:val="24"/>
                <w:lang w:eastAsia="et-EE"/>
              </w:rPr>
            </w:pPr>
            <w:r w:rsidRPr="00452AC0">
              <w:rPr>
                <w:rFonts w:eastAsia="Times New Roman" w:cstheme="minorHAnsi"/>
                <w:color w:val="222222"/>
                <w:szCs w:val="24"/>
                <w:lang w:eastAsia="et-EE"/>
              </w:rPr>
              <w:t> </w:t>
            </w:r>
          </w:p>
          <w:p w14:paraId="7505A1A0" w14:textId="77777777" w:rsidR="008C6F14" w:rsidRPr="00452AC0" w:rsidRDefault="008C6F14" w:rsidP="008C6F14">
            <w:pPr>
              <w:shd w:val="clear" w:color="auto" w:fill="FFFFFF"/>
              <w:rPr>
                <w:rFonts w:eastAsia="Times New Roman" w:cstheme="minorHAnsi"/>
                <w:color w:val="222222"/>
                <w:szCs w:val="24"/>
                <w:lang w:eastAsia="et-EE"/>
              </w:rPr>
            </w:pPr>
            <w:r w:rsidRPr="00452AC0">
              <w:rPr>
                <w:rFonts w:eastAsia="Times New Roman" w:cstheme="minorHAnsi"/>
                <w:color w:val="222222"/>
                <w:szCs w:val="24"/>
                <w:lang w:eastAsia="et-EE"/>
              </w:rPr>
              <w:t xml:space="preserve">Eeltoodu osas on </w:t>
            </w:r>
            <w:r>
              <w:rPr>
                <w:rFonts w:eastAsia="Times New Roman" w:cstheme="minorHAnsi"/>
                <w:color w:val="222222"/>
                <w:szCs w:val="24"/>
                <w:lang w:eastAsia="et-EE"/>
              </w:rPr>
              <w:t xml:space="preserve">aga </w:t>
            </w:r>
            <w:r w:rsidRPr="00452AC0">
              <w:rPr>
                <w:rFonts w:eastAsia="Times New Roman" w:cstheme="minorHAnsi"/>
                <w:color w:val="222222"/>
                <w:szCs w:val="24"/>
                <w:lang w:eastAsia="et-EE"/>
              </w:rPr>
              <w:t>ette nähtud kaks olulist erisust:</w:t>
            </w:r>
          </w:p>
          <w:p w14:paraId="74166FD5" w14:textId="77777777" w:rsidR="008C6F14" w:rsidRPr="00452AC0" w:rsidRDefault="008C6F14" w:rsidP="008C6F14">
            <w:pPr>
              <w:numPr>
                <w:ilvl w:val="0"/>
                <w:numId w:val="1"/>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kui teavitamiskohustuse täitmine kujuneks teose või esituse kasutusest saadava tuluga võrreldes ebamõistlikult koormavaks või kulukaks, piirdub see kohustus sellist liiki ja sellisel tasemel teabega, mille esitamist võib mõistlikult eeldada;</w:t>
            </w:r>
          </w:p>
          <w:p w14:paraId="1BCD3033" w14:textId="77777777" w:rsidR="008C6F14" w:rsidRPr="00452AC0" w:rsidRDefault="008C6F14" w:rsidP="008C6F14">
            <w:pPr>
              <w:numPr>
                <w:ilvl w:val="0"/>
                <w:numId w:val="2"/>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kui autori või esitaja panus ei ole kogu teost või esitust arvestades märkimisväärne, teavitamiskohustust ei teki.</w:t>
            </w:r>
          </w:p>
          <w:p w14:paraId="29BEC4B5" w14:textId="77777777" w:rsidR="008C6F14" w:rsidRPr="00452AC0" w:rsidRDefault="008C6F14" w:rsidP="008C6F14">
            <w:pPr>
              <w:shd w:val="clear" w:color="auto" w:fill="FFFFFF"/>
              <w:rPr>
                <w:rFonts w:eastAsia="Times New Roman" w:cstheme="minorHAnsi"/>
                <w:color w:val="222222"/>
                <w:szCs w:val="24"/>
                <w:lang w:eastAsia="et-EE"/>
              </w:rPr>
            </w:pPr>
            <w:r w:rsidRPr="00452AC0">
              <w:rPr>
                <w:rFonts w:eastAsia="Times New Roman" w:cstheme="minorHAnsi"/>
                <w:color w:val="222222"/>
                <w:szCs w:val="24"/>
                <w:lang w:eastAsia="et-EE"/>
              </w:rPr>
              <w:t>  </w:t>
            </w:r>
          </w:p>
          <w:p w14:paraId="168D25BA" w14:textId="77777777" w:rsidR="008C6F14" w:rsidRPr="00452AC0" w:rsidRDefault="008C6F14" w:rsidP="008C6F14">
            <w:pPr>
              <w:shd w:val="clear" w:color="auto" w:fill="FFFFFF"/>
              <w:rPr>
                <w:rFonts w:eastAsia="Times New Roman" w:cstheme="minorHAnsi"/>
                <w:color w:val="222222"/>
                <w:szCs w:val="24"/>
                <w:lang w:eastAsia="et-EE"/>
              </w:rPr>
            </w:pPr>
            <w:r>
              <w:rPr>
                <w:rFonts w:eastAsia="Times New Roman" w:cstheme="minorHAnsi"/>
                <w:color w:val="222222"/>
                <w:szCs w:val="24"/>
                <w:lang w:eastAsia="et-EE"/>
              </w:rPr>
              <w:t>Seminaril</w:t>
            </w:r>
            <w:r w:rsidRPr="00452AC0">
              <w:rPr>
                <w:rFonts w:eastAsia="Times New Roman" w:cstheme="minorHAnsi"/>
                <w:color w:val="222222"/>
                <w:szCs w:val="24"/>
                <w:lang w:eastAsia="et-EE"/>
              </w:rPr>
              <w:t xml:space="preserve"> </w:t>
            </w:r>
            <w:r>
              <w:rPr>
                <w:rFonts w:eastAsia="Times New Roman" w:cstheme="minorHAnsi"/>
                <w:color w:val="222222"/>
                <w:szCs w:val="24"/>
                <w:lang w:eastAsia="et-EE"/>
              </w:rPr>
              <w:t xml:space="preserve">analüüsiti järgmisi filmivaldkonna praktikaid: </w:t>
            </w:r>
          </w:p>
          <w:p w14:paraId="3FED1F78" w14:textId="77777777" w:rsidR="008C6F14" w:rsidRPr="00452AC0" w:rsidRDefault="008C6F14" w:rsidP="008C6F14">
            <w:pPr>
              <w:numPr>
                <w:ilvl w:val="0"/>
                <w:numId w:val="3"/>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Eesti Filmi Instituudi poolt kogutud ja avaldatud kinolevi kassatulude andme</w:t>
            </w:r>
            <w:r>
              <w:rPr>
                <w:rFonts w:eastAsia="Times New Roman" w:cstheme="minorHAnsi"/>
                <w:color w:val="222222"/>
                <w:szCs w:val="24"/>
                <w:lang w:eastAsia="et-EE"/>
              </w:rPr>
              <w:t>d</w:t>
            </w:r>
            <w:r w:rsidRPr="00452AC0">
              <w:rPr>
                <w:rFonts w:eastAsia="Times New Roman" w:cstheme="minorHAnsi"/>
                <w:color w:val="222222"/>
                <w:szCs w:val="24"/>
                <w:lang w:eastAsia="et-EE"/>
              </w:rPr>
              <w:t>;</w:t>
            </w:r>
          </w:p>
          <w:p w14:paraId="06DD22B4" w14:textId="77777777" w:rsidR="008C6F14" w:rsidRPr="00452AC0" w:rsidRDefault="008C6F14" w:rsidP="008C6F14">
            <w:pPr>
              <w:numPr>
                <w:ilvl w:val="0"/>
                <w:numId w:val="3"/>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teose osas igale autorile ja esitajale eraldiseisvalt teavituse edastamine on ebamõistlikult koormav ja kulukas (mistõttu on tegemist üldise viitega Eesti Filmi Instituudi poolt kogutud ja avaldatud andmetele, kust on võimalik leida infot konkreetsete teoste kohta);</w:t>
            </w:r>
          </w:p>
          <w:p w14:paraId="6C88FA47" w14:textId="77777777" w:rsidR="008C6F14" w:rsidRPr="00452AC0" w:rsidRDefault="008C6F14" w:rsidP="008C6F14">
            <w:pPr>
              <w:numPr>
                <w:ilvl w:val="0"/>
                <w:numId w:val="3"/>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audiovisuaalsed teosed on käsitletavad tervikteostena ja nende jagamine autorite või esitajate eraldiseisvateks teosteks ei ole mõistlikult võimalik (mistõttu antakse teavet audiovisuaalse teose kui terviku kasutamise kohta);</w:t>
            </w:r>
          </w:p>
          <w:p w14:paraId="5DF65A0C" w14:textId="77777777" w:rsidR="008C6F14" w:rsidRPr="00452AC0" w:rsidRDefault="008C6F14" w:rsidP="008C6F14">
            <w:pPr>
              <w:numPr>
                <w:ilvl w:val="0"/>
                <w:numId w:val="3"/>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 xml:space="preserve">audiovisuaalsete teoste peamised kasutusviisid (kinolevi, VOD, TV ning erandlikel juhtudel </w:t>
            </w:r>
            <w:proofErr w:type="spellStart"/>
            <w:r w:rsidRPr="00452AC0">
              <w:rPr>
                <w:rFonts w:eastAsia="Times New Roman" w:cstheme="minorHAnsi"/>
                <w:color w:val="222222"/>
                <w:szCs w:val="24"/>
                <w:lang w:eastAsia="et-EE"/>
              </w:rPr>
              <w:t>välismüük</w:t>
            </w:r>
            <w:proofErr w:type="spellEnd"/>
            <w:r w:rsidRPr="00452AC0">
              <w:rPr>
                <w:rFonts w:eastAsia="Times New Roman" w:cstheme="minorHAnsi"/>
                <w:color w:val="222222"/>
                <w:szCs w:val="24"/>
                <w:lang w:eastAsia="et-EE"/>
              </w:rPr>
              <w:t>);</w:t>
            </w:r>
          </w:p>
          <w:p w14:paraId="4EE959B2" w14:textId="77777777" w:rsidR="008C6F14" w:rsidRPr="00452AC0" w:rsidRDefault="008C6F14" w:rsidP="008C6F14">
            <w:pPr>
              <w:numPr>
                <w:ilvl w:val="0"/>
                <w:numId w:val="3"/>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üldiselt on filmitootjate tulu TV näitamisõiguste eest ühekordne litsentsitulu;</w:t>
            </w:r>
          </w:p>
          <w:p w14:paraId="6922EB9C" w14:textId="77777777" w:rsidR="008C6F14" w:rsidRPr="00452AC0" w:rsidRDefault="008C6F14" w:rsidP="008C6F14">
            <w:pPr>
              <w:numPr>
                <w:ilvl w:val="0"/>
                <w:numId w:val="3"/>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millised on filmitootjate kulud ja võimalikud tulud (jagatavast kasumist saab rääkida erandlikel juhtumitel);</w:t>
            </w:r>
          </w:p>
          <w:p w14:paraId="7BB5B9BA" w14:textId="77777777" w:rsidR="008C6F14" w:rsidRPr="00452AC0" w:rsidRDefault="008C6F14" w:rsidP="008C6F14">
            <w:pPr>
              <w:numPr>
                <w:ilvl w:val="0"/>
                <w:numId w:val="3"/>
              </w:numPr>
              <w:shd w:val="clear" w:color="auto" w:fill="FFFFFF"/>
              <w:jc w:val="left"/>
              <w:rPr>
                <w:rFonts w:eastAsia="Times New Roman" w:cstheme="minorHAnsi"/>
                <w:color w:val="222222"/>
                <w:szCs w:val="24"/>
                <w:lang w:eastAsia="et-EE"/>
              </w:rPr>
            </w:pPr>
            <w:r w:rsidRPr="00452AC0">
              <w:rPr>
                <w:rFonts w:eastAsia="Times New Roman" w:cstheme="minorHAnsi"/>
                <w:color w:val="222222"/>
                <w:szCs w:val="24"/>
                <w:lang w:eastAsia="et-EE"/>
              </w:rPr>
              <w:t>filmitootjad teevad audiovisuaalsete teoste loomisel olulisi investeeringuid (võttes sealjuures olulisi riske) ning enamasti kasutatakse eelmise audiovisuaalse teose kasutamisest saadud kasumit järgmise teose finantseerimiseks;</w:t>
            </w:r>
          </w:p>
          <w:p w14:paraId="05A310A8" w14:textId="77777777" w:rsidR="008C6F14" w:rsidRPr="00452AC0" w:rsidRDefault="008C6F14" w:rsidP="008C6F14">
            <w:pPr>
              <w:numPr>
                <w:ilvl w:val="0"/>
                <w:numId w:val="3"/>
              </w:numPr>
              <w:shd w:val="clear" w:color="auto" w:fill="FFFFFF"/>
              <w:jc w:val="left"/>
              <w:rPr>
                <w:rFonts w:eastAsia="Times New Roman" w:cstheme="minorHAnsi"/>
                <w:color w:val="222222"/>
                <w:szCs w:val="24"/>
                <w:lang w:eastAsia="et-EE"/>
              </w:rPr>
            </w:pPr>
            <w:r>
              <w:rPr>
                <w:rFonts w:eastAsia="Times New Roman" w:cstheme="minorHAnsi"/>
                <w:color w:val="222222"/>
                <w:szCs w:val="24"/>
                <w:lang w:eastAsia="et-EE"/>
              </w:rPr>
              <w:t xml:space="preserve">kui </w:t>
            </w:r>
            <w:r w:rsidRPr="00452AC0">
              <w:rPr>
                <w:rFonts w:eastAsia="Times New Roman" w:cstheme="minorHAnsi"/>
                <w:color w:val="222222"/>
                <w:szCs w:val="24"/>
                <w:lang w:eastAsia="et-EE"/>
              </w:rPr>
              <w:t>autoril või esitajal on õigus teose kasutamise eest tasu, teavitatakse sellest eraldiseisvalt.</w:t>
            </w:r>
          </w:p>
          <w:p w14:paraId="5BC2A8B7" w14:textId="77777777" w:rsidR="008C6F14" w:rsidRPr="00452AC0" w:rsidRDefault="008C6F14" w:rsidP="008C6F14">
            <w:pPr>
              <w:shd w:val="clear" w:color="auto" w:fill="FFFFFF"/>
              <w:rPr>
                <w:rFonts w:eastAsia="Times New Roman" w:cstheme="minorHAnsi"/>
                <w:color w:val="222222"/>
                <w:szCs w:val="24"/>
                <w:lang w:eastAsia="et-EE"/>
              </w:rPr>
            </w:pPr>
          </w:p>
          <w:p w14:paraId="55CF4A59" w14:textId="77777777" w:rsidR="008C6F14" w:rsidRPr="00452AC0" w:rsidRDefault="008C6F14" w:rsidP="008C6F14">
            <w:pPr>
              <w:shd w:val="clear" w:color="auto" w:fill="FFFFFF"/>
              <w:rPr>
                <w:rFonts w:eastAsia="Times New Roman" w:cstheme="minorHAnsi"/>
                <w:color w:val="222222"/>
                <w:szCs w:val="24"/>
                <w:lang w:eastAsia="et-EE"/>
              </w:rPr>
            </w:pPr>
            <w:r w:rsidRPr="00452AC0">
              <w:rPr>
                <w:rFonts w:eastAsia="Times New Roman" w:cstheme="minorHAnsi"/>
                <w:b/>
                <w:bCs/>
                <w:color w:val="222222"/>
                <w:szCs w:val="24"/>
                <w:u w:val="single"/>
                <w:lang w:eastAsia="et-EE"/>
              </w:rPr>
              <w:t>Seminari tulemus</w:t>
            </w:r>
          </w:p>
          <w:p w14:paraId="0C641852" w14:textId="77777777" w:rsidR="008C6F14" w:rsidRPr="00452AC0" w:rsidRDefault="008C6F14" w:rsidP="008C6F14">
            <w:pPr>
              <w:shd w:val="clear" w:color="auto" w:fill="FFFFFF"/>
              <w:rPr>
                <w:rFonts w:eastAsia="Times New Roman" w:cstheme="minorHAnsi"/>
                <w:color w:val="222222"/>
                <w:szCs w:val="24"/>
                <w:lang w:eastAsia="et-EE"/>
              </w:rPr>
            </w:pPr>
          </w:p>
          <w:p w14:paraId="14E0C437" w14:textId="70528D70" w:rsidR="00693D8F" w:rsidRPr="00AD53CD" w:rsidRDefault="008C6F14" w:rsidP="00AD53CD">
            <w:pPr>
              <w:shd w:val="clear" w:color="auto" w:fill="FFFFFF"/>
              <w:rPr>
                <w:rFonts w:eastAsia="Times New Roman" w:cstheme="minorHAnsi"/>
                <w:color w:val="222222"/>
                <w:szCs w:val="24"/>
                <w:lang w:eastAsia="et-EE"/>
              </w:rPr>
            </w:pPr>
            <w:r w:rsidRPr="00452AC0">
              <w:rPr>
                <w:rFonts w:eastAsia="Times New Roman" w:cstheme="minorHAnsi"/>
                <w:color w:val="222222"/>
                <w:szCs w:val="24"/>
                <w:lang w:eastAsia="et-EE"/>
              </w:rPr>
              <w:t xml:space="preserve">Seminari tulemusena koostasid </w:t>
            </w:r>
            <w:r>
              <w:rPr>
                <w:rFonts w:eastAsia="Times New Roman" w:cstheme="minorHAnsi"/>
                <w:color w:val="222222"/>
                <w:szCs w:val="24"/>
                <w:lang w:eastAsia="et-EE"/>
              </w:rPr>
              <w:t>K</w:t>
            </w:r>
            <w:r w:rsidRPr="00452AC0">
              <w:rPr>
                <w:rFonts w:eastAsia="Times New Roman" w:cstheme="minorHAnsi"/>
                <w:color w:val="222222"/>
                <w:szCs w:val="24"/>
                <w:lang w:eastAsia="et-EE"/>
              </w:rPr>
              <w:t>lastri liikmed koostöös Soraineni</w:t>
            </w:r>
            <w:r>
              <w:rPr>
                <w:rFonts w:eastAsia="Times New Roman" w:cstheme="minorHAnsi"/>
                <w:color w:val="222222"/>
                <w:szCs w:val="24"/>
                <w:lang w:eastAsia="et-EE"/>
              </w:rPr>
              <w:t xml:space="preserve"> bürooga</w:t>
            </w:r>
            <w:r w:rsidRPr="00452AC0">
              <w:rPr>
                <w:rFonts w:eastAsia="Times New Roman" w:cstheme="minorHAnsi"/>
                <w:color w:val="222222"/>
                <w:szCs w:val="24"/>
                <w:lang w:eastAsia="et-EE"/>
              </w:rPr>
              <w:t xml:space="preserve"> teavitamisvormi autoritele. Toimus</w:t>
            </w:r>
            <w:r>
              <w:rPr>
                <w:rFonts w:eastAsia="Times New Roman" w:cstheme="minorHAnsi"/>
                <w:color w:val="222222"/>
                <w:szCs w:val="24"/>
                <w:lang w:eastAsia="et-EE"/>
              </w:rPr>
              <w:t>id</w:t>
            </w:r>
            <w:r w:rsidRPr="00452AC0">
              <w:rPr>
                <w:rFonts w:eastAsia="Times New Roman" w:cstheme="minorHAnsi"/>
                <w:color w:val="222222"/>
                <w:szCs w:val="24"/>
                <w:lang w:eastAsia="et-EE"/>
              </w:rPr>
              <w:t xml:space="preserve"> kohtumi</w:t>
            </w:r>
            <w:r>
              <w:rPr>
                <w:rFonts w:eastAsia="Times New Roman" w:cstheme="minorHAnsi"/>
                <w:color w:val="222222"/>
                <w:szCs w:val="24"/>
                <w:lang w:eastAsia="et-EE"/>
              </w:rPr>
              <w:t xml:space="preserve">sed Eesti Näitlejate Liiduga, kuid osapooli rahuldavale kokkuleppele teavitamisvormi suhtes ei jõutud. Läbirääkimised jätkuvad Klastri ja </w:t>
            </w:r>
            <w:r w:rsidR="000D3669">
              <w:rPr>
                <w:rFonts w:eastAsia="Times New Roman" w:cstheme="minorHAnsi"/>
                <w:color w:val="222222"/>
                <w:szCs w:val="24"/>
                <w:lang w:eastAsia="et-EE"/>
              </w:rPr>
              <w:t>Näitlejate Liidu</w:t>
            </w:r>
            <w:r>
              <w:rPr>
                <w:rFonts w:eastAsia="Times New Roman" w:cstheme="minorHAnsi"/>
                <w:color w:val="222222"/>
                <w:szCs w:val="24"/>
                <w:lang w:eastAsia="et-EE"/>
              </w:rPr>
              <w:t xml:space="preserve"> ühise </w:t>
            </w:r>
            <w:r w:rsidR="00012267">
              <w:rPr>
                <w:rFonts w:eastAsia="Times New Roman" w:cstheme="minorHAnsi"/>
                <w:color w:val="222222"/>
                <w:szCs w:val="24"/>
                <w:lang w:eastAsia="et-EE"/>
              </w:rPr>
              <w:t>S</w:t>
            </w:r>
            <w:r>
              <w:rPr>
                <w:rFonts w:eastAsia="Times New Roman" w:cstheme="minorHAnsi"/>
                <w:color w:val="222222"/>
                <w:szCs w:val="24"/>
                <w:lang w:eastAsia="et-EE"/>
              </w:rPr>
              <w:t>ügisseminar</w:t>
            </w:r>
            <w:r w:rsidR="00012267">
              <w:rPr>
                <w:rFonts w:eastAsia="Times New Roman" w:cstheme="minorHAnsi"/>
                <w:color w:val="222222"/>
                <w:szCs w:val="24"/>
                <w:lang w:eastAsia="et-EE"/>
              </w:rPr>
              <w:t xml:space="preserve"> 2023</w:t>
            </w:r>
            <w:r>
              <w:rPr>
                <w:rFonts w:eastAsia="Times New Roman" w:cstheme="minorHAnsi"/>
                <w:color w:val="222222"/>
                <w:szCs w:val="24"/>
                <w:lang w:eastAsia="et-EE"/>
              </w:rPr>
              <w:t xml:space="preserve"> järel ning kokkuleppele soovitakse jõuda aprillis 2024. </w:t>
            </w:r>
          </w:p>
          <w:p w14:paraId="0DD42682" w14:textId="77777777" w:rsidR="00693D8F" w:rsidRDefault="00693D8F" w:rsidP="004A5EFC">
            <w:pPr>
              <w:spacing w:line="360" w:lineRule="auto"/>
              <w:rPr>
                <w:rFonts w:cs="Times New Roman"/>
                <w:szCs w:val="24"/>
              </w:rPr>
            </w:pPr>
          </w:p>
        </w:tc>
      </w:tr>
    </w:tbl>
    <w:p w14:paraId="14322136" w14:textId="77777777" w:rsidR="00693D8F" w:rsidRDefault="00693D8F" w:rsidP="00693D8F">
      <w:pPr>
        <w:rPr>
          <w:rFonts w:cs="Times New Roman"/>
          <w:b/>
          <w:szCs w:val="24"/>
        </w:rPr>
      </w:pPr>
      <w:r>
        <w:rPr>
          <w:rFonts w:cs="Times New Roman"/>
          <w:b/>
          <w:szCs w:val="24"/>
        </w:rPr>
        <w:lastRenderedPageBreak/>
        <w:br w:type="page"/>
      </w:r>
    </w:p>
    <w:p w14:paraId="6230C1B9" w14:textId="77777777" w:rsidR="00693D8F" w:rsidRDefault="00693D8F" w:rsidP="00693D8F">
      <w:pPr>
        <w:spacing w:line="360" w:lineRule="auto"/>
        <w:rPr>
          <w:rFonts w:cs="Times New Roman"/>
          <w:b/>
          <w:szCs w:val="24"/>
        </w:rPr>
      </w:pPr>
      <w:r w:rsidRPr="00FF1BB8">
        <w:rPr>
          <w:rFonts w:cs="Times New Roman"/>
          <w:b/>
          <w:szCs w:val="24"/>
        </w:rPr>
        <w:t>EELARVE</w:t>
      </w:r>
    </w:p>
    <w:tbl>
      <w:tblPr>
        <w:tblStyle w:val="TableGrid"/>
        <w:tblW w:w="0" w:type="auto"/>
        <w:tblLook w:val="04A0" w:firstRow="1" w:lastRow="0" w:firstColumn="1" w:lastColumn="0" w:noHBand="0" w:noVBand="1"/>
      </w:tblPr>
      <w:tblGrid>
        <w:gridCol w:w="4815"/>
        <w:gridCol w:w="2410"/>
        <w:gridCol w:w="1837"/>
      </w:tblGrid>
      <w:tr w:rsidR="00693D8F" w14:paraId="0641CFEE" w14:textId="77777777" w:rsidTr="006124E6">
        <w:tc>
          <w:tcPr>
            <w:tcW w:w="4815" w:type="dxa"/>
          </w:tcPr>
          <w:p w14:paraId="0384BD63" w14:textId="77777777" w:rsidR="00693D8F" w:rsidRPr="00727C72" w:rsidRDefault="00693D8F" w:rsidP="00CC785E">
            <w:pPr>
              <w:jc w:val="left"/>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2410" w:type="dxa"/>
          </w:tcPr>
          <w:p w14:paraId="16623704" w14:textId="77777777" w:rsidR="00693D8F" w:rsidRDefault="00693D8F" w:rsidP="00CC785E">
            <w:pPr>
              <w:jc w:val="left"/>
              <w:rPr>
                <w:rFonts w:cs="Times New Roman"/>
                <w:b/>
                <w:szCs w:val="24"/>
              </w:rPr>
            </w:pPr>
            <w:r>
              <w:rPr>
                <w:rFonts w:cs="Times New Roman"/>
                <w:b/>
                <w:szCs w:val="24"/>
              </w:rPr>
              <w:t>Planeeritud summa</w:t>
            </w:r>
          </w:p>
        </w:tc>
        <w:tc>
          <w:tcPr>
            <w:tcW w:w="1837" w:type="dxa"/>
          </w:tcPr>
          <w:p w14:paraId="50E542D5" w14:textId="77777777" w:rsidR="00693D8F" w:rsidRDefault="00693D8F" w:rsidP="00CC785E">
            <w:pPr>
              <w:jc w:val="left"/>
              <w:rPr>
                <w:rFonts w:cs="Times New Roman"/>
                <w:b/>
                <w:szCs w:val="24"/>
              </w:rPr>
            </w:pPr>
            <w:r>
              <w:rPr>
                <w:rFonts w:cs="Times New Roman"/>
                <w:b/>
                <w:szCs w:val="24"/>
              </w:rPr>
              <w:t>Tegelik summa</w:t>
            </w:r>
          </w:p>
        </w:tc>
      </w:tr>
      <w:tr w:rsidR="00693D8F" w:rsidRPr="00CC785E" w14:paraId="390C8EB4" w14:textId="77777777" w:rsidTr="006124E6">
        <w:tc>
          <w:tcPr>
            <w:tcW w:w="4815" w:type="dxa"/>
          </w:tcPr>
          <w:p w14:paraId="25D29C2E" w14:textId="148931B5" w:rsidR="00693D8F" w:rsidRPr="00CC785E" w:rsidRDefault="00CC785E" w:rsidP="00CC785E">
            <w:pPr>
              <w:jc w:val="left"/>
              <w:rPr>
                <w:rFonts w:cs="Times New Roman"/>
                <w:bCs/>
                <w:szCs w:val="24"/>
              </w:rPr>
            </w:pPr>
            <w:r w:rsidRPr="00CC785E">
              <w:rPr>
                <w:rFonts w:cs="Times New Roman"/>
                <w:bCs/>
                <w:szCs w:val="24"/>
              </w:rPr>
              <w:t>Ettekannete ettevalmistamine ja esinejate tasud</w:t>
            </w:r>
          </w:p>
        </w:tc>
        <w:tc>
          <w:tcPr>
            <w:tcW w:w="2410" w:type="dxa"/>
          </w:tcPr>
          <w:p w14:paraId="1BBE4577" w14:textId="471AF3A8" w:rsidR="00693D8F" w:rsidRPr="00CC785E" w:rsidRDefault="00CC785E" w:rsidP="00CC785E">
            <w:pPr>
              <w:jc w:val="right"/>
              <w:rPr>
                <w:rFonts w:cs="Times New Roman"/>
                <w:bCs/>
                <w:szCs w:val="24"/>
              </w:rPr>
            </w:pPr>
            <w:r>
              <w:rPr>
                <w:rFonts w:cs="Times New Roman"/>
                <w:bCs/>
                <w:szCs w:val="24"/>
              </w:rPr>
              <w:t>3 000</w:t>
            </w:r>
          </w:p>
        </w:tc>
        <w:tc>
          <w:tcPr>
            <w:tcW w:w="1837" w:type="dxa"/>
          </w:tcPr>
          <w:p w14:paraId="6D7B94E9" w14:textId="049662C9" w:rsidR="00693D8F" w:rsidRPr="00CC785E" w:rsidRDefault="006124E6" w:rsidP="00CC785E">
            <w:pPr>
              <w:jc w:val="right"/>
              <w:rPr>
                <w:rFonts w:cs="Times New Roman"/>
                <w:bCs/>
                <w:szCs w:val="24"/>
              </w:rPr>
            </w:pPr>
            <w:r>
              <w:rPr>
                <w:rFonts w:cs="Times New Roman"/>
                <w:bCs/>
                <w:szCs w:val="24"/>
              </w:rPr>
              <w:t>2 620</w:t>
            </w:r>
          </w:p>
        </w:tc>
      </w:tr>
      <w:tr w:rsidR="00693D8F" w:rsidRPr="00CC785E" w14:paraId="58B813F7" w14:textId="77777777" w:rsidTr="006124E6">
        <w:tc>
          <w:tcPr>
            <w:tcW w:w="4815" w:type="dxa"/>
          </w:tcPr>
          <w:p w14:paraId="31CB6423" w14:textId="7A1415E2" w:rsidR="00693D8F" w:rsidRPr="00CC785E" w:rsidRDefault="00CC785E" w:rsidP="00CC785E">
            <w:pPr>
              <w:jc w:val="left"/>
              <w:rPr>
                <w:rFonts w:cs="Times New Roman"/>
                <w:bCs/>
                <w:szCs w:val="24"/>
              </w:rPr>
            </w:pPr>
            <w:r>
              <w:rPr>
                <w:rFonts w:cs="Times New Roman"/>
                <w:bCs/>
                <w:szCs w:val="24"/>
              </w:rPr>
              <w:t>Ruumide rent ja võõrustamine</w:t>
            </w:r>
          </w:p>
        </w:tc>
        <w:tc>
          <w:tcPr>
            <w:tcW w:w="2410" w:type="dxa"/>
          </w:tcPr>
          <w:p w14:paraId="62CD56E6" w14:textId="59163820" w:rsidR="00693D8F" w:rsidRPr="00CC785E" w:rsidRDefault="00CC785E" w:rsidP="00CC785E">
            <w:pPr>
              <w:jc w:val="right"/>
              <w:rPr>
                <w:rFonts w:cs="Times New Roman"/>
                <w:bCs/>
                <w:szCs w:val="24"/>
              </w:rPr>
            </w:pPr>
            <w:r>
              <w:rPr>
                <w:rFonts w:cs="Times New Roman"/>
                <w:bCs/>
                <w:szCs w:val="24"/>
              </w:rPr>
              <w:t>1 700</w:t>
            </w:r>
          </w:p>
        </w:tc>
        <w:tc>
          <w:tcPr>
            <w:tcW w:w="1837" w:type="dxa"/>
          </w:tcPr>
          <w:p w14:paraId="7A8B9AA1" w14:textId="3AB9A265" w:rsidR="00693D8F" w:rsidRPr="00CC785E" w:rsidRDefault="006124E6" w:rsidP="00CC785E">
            <w:pPr>
              <w:jc w:val="right"/>
              <w:rPr>
                <w:rFonts w:cs="Times New Roman"/>
                <w:bCs/>
                <w:szCs w:val="24"/>
              </w:rPr>
            </w:pPr>
            <w:r>
              <w:rPr>
                <w:rFonts w:cs="Times New Roman"/>
                <w:bCs/>
                <w:szCs w:val="24"/>
              </w:rPr>
              <w:t>353</w:t>
            </w:r>
          </w:p>
        </w:tc>
      </w:tr>
      <w:tr w:rsidR="00693D8F" w:rsidRPr="00CC785E" w14:paraId="556F1579" w14:textId="77777777" w:rsidTr="006124E6">
        <w:tc>
          <w:tcPr>
            <w:tcW w:w="4815" w:type="dxa"/>
          </w:tcPr>
          <w:p w14:paraId="28E2BFC7" w14:textId="55E17657" w:rsidR="00693D8F" w:rsidRPr="00CC785E" w:rsidRDefault="00CC785E" w:rsidP="00CC785E">
            <w:pPr>
              <w:jc w:val="left"/>
              <w:rPr>
                <w:rFonts w:cs="Times New Roman"/>
                <w:bCs/>
                <w:szCs w:val="24"/>
              </w:rPr>
            </w:pPr>
            <w:r>
              <w:rPr>
                <w:rFonts w:cs="Times New Roman"/>
                <w:bCs/>
                <w:szCs w:val="24"/>
              </w:rPr>
              <w:t>Tehnika rent</w:t>
            </w:r>
          </w:p>
        </w:tc>
        <w:tc>
          <w:tcPr>
            <w:tcW w:w="2410" w:type="dxa"/>
          </w:tcPr>
          <w:p w14:paraId="1DE3EEFD" w14:textId="5680380B" w:rsidR="00693D8F" w:rsidRPr="00CC785E" w:rsidRDefault="00CC785E" w:rsidP="00CC785E">
            <w:pPr>
              <w:jc w:val="right"/>
              <w:rPr>
                <w:rFonts w:cs="Times New Roman"/>
                <w:bCs/>
                <w:szCs w:val="24"/>
              </w:rPr>
            </w:pPr>
            <w:r>
              <w:rPr>
                <w:rFonts w:cs="Times New Roman"/>
                <w:bCs/>
                <w:szCs w:val="24"/>
              </w:rPr>
              <w:t>600</w:t>
            </w:r>
          </w:p>
        </w:tc>
        <w:tc>
          <w:tcPr>
            <w:tcW w:w="1837" w:type="dxa"/>
          </w:tcPr>
          <w:p w14:paraId="4C543481" w14:textId="7E97CD29" w:rsidR="00693D8F" w:rsidRPr="00CC785E" w:rsidRDefault="006124E6" w:rsidP="00CC785E">
            <w:pPr>
              <w:jc w:val="right"/>
              <w:rPr>
                <w:rFonts w:cs="Times New Roman"/>
                <w:bCs/>
                <w:szCs w:val="24"/>
              </w:rPr>
            </w:pPr>
            <w:r>
              <w:rPr>
                <w:rFonts w:cs="Times New Roman"/>
                <w:bCs/>
                <w:szCs w:val="24"/>
              </w:rPr>
              <w:t>0</w:t>
            </w:r>
          </w:p>
        </w:tc>
      </w:tr>
      <w:tr w:rsidR="00693D8F" w:rsidRPr="00CC785E" w14:paraId="1648204F" w14:textId="77777777" w:rsidTr="006124E6">
        <w:tc>
          <w:tcPr>
            <w:tcW w:w="4815" w:type="dxa"/>
          </w:tcPr>
          <w:p w14:paraId="2197B048" w14:textId="5F6F94FD" w:rsidR="00693D8F" w:rsidRPr="00CC785E" w:rsidRDefault="00CC785E" w:rsidP="00CC785E">
            <w:pPr>
              <w:jc w:val="left"/>
              <w:rPr>
                <w:rFonts w:cs="Times New Roman"/>
                <w:bCs/>
                <w:szCs w:val="24"/>
              </w:rPr>
            </w:pPr>
            <w:r>
              <w:rPr>
                <w:rFonts w:cs="Times New Roman"/>
                <w:bCs/>
                <w:szCs w:val="24"/>
              </w:rPr>
              <w:t>Transpordikulud</w:t>
            </w:r>
          </w:p>
        </w:tc>
        <w:tc>
          <w:tcPr>
            <w:tcW w:w="2410" w:type="dxa"/>
          </w:tcPr>
          <w:p w14:paraId="53526E28" w14:textId="4429C5D1" w:rsidR="00693D8F" w:rsidRPr="00CC785E" w:rsidRDefault="00CC785E" w:rsidP="00CC785E">
            <w:pPr>
              <w:jc w:val="right"/>
              <w:rPr>
                <w:rFonts w:cs="Times New Roman"/>
                <w:bCs/>
                <w:szCs w:val="24"/>
              </w:rPr>
            </w:pPr>
            <w:r>
              <w:rPr>
                <w:rFonts w:cs="Times New Roman"/>
                <w:bCs/>
                <w:szCs w:val="24"/>
              </w:rPr>
              <w:t>200</w:t>
            </w:r>
          </w:p>
        </w:tc>
        <w:tc>
          <w:tcPr>
            <w:tcW w:w="1837" w:type="dxa"/>
          </w:tcPr>
          <w:p w14:paraId="1C58D09F" w14:textId="20A6A13F" w:rsidR="00693D8F" w:rsidRPr="00CC785E" w:rsidRDefault="006124E6" w:rsidP="00CC785E">
            <w:pPr>
              <w:jc w:val="right"/>
              <w:rPr>
                <w:rFonts w:cs="Times New Roman"/>
                <w:bCs/>
                <w:szCs w:val="24"/>
              </w:rPr>
            </w:pPr>
            <w:r>
              <w:rPr>
                <w:rFonts w:cs="Times New Roman"/>
                <w:bCs/>
                <w:szCs w:val="24"/>
              </w:rPr>
              <w:t>0</w:t>
            </w:r>
          </w:p>
        </w:tc>
      </w:tr>
      <w:tr w:rsidR="00693D8F" w14:paraId="4BF1F769" w14:textId="77777777" w:rsidTr="006124E6">
        <w:tc>
          <w:tcPr>
            <w:tcW w:w="4815" w:type="dxa"/>
          </w:tcPr>
          <w:p w14:paraId="273F38F3" w14:textId="77777777" w:rsidR="00693D8F" w:rsidRDefault="00693D8F" w:rsidP="00CC785E">
            <w:pPr>
              <w:jc w:val="left"/>
              <w:rPr>
                <w:rFonts w:cs="Times New Roman"/>
                <w:b/>
                <w:szCs w:val="24"/>
              </w:rPr>
            </w:pPr>
            <w:r>
              <w:rPr>
                <w:rFonts w:cs="Times New Roman"/>
                <w:b/>
                <w:szCs w:val="24"/>
              </w:rPr>
              <w:t>Kulud kokku</w:t>
            </w:r>
          </w:p>
        </w:tc>
        <w:tc>
          <w:tcPr>
            <w:tcW w:w="2410" w:type="dxa"/>
          </w:tcPr>
          <w:p w14:paraId="3F787A8D" w14:textId="2C670791" w:rsidR="00693D8F" w:rsidRDefault="00CC785E" w:rsidP="00CC785E">
            <w:pPr>
              <w:jc w:val="right"/>
              <w:rPr>
                <w:rFonts w:cs="Times New Roman"/>
                <w:b/>
                <w:szCs w:val="24"/>
              </w:rPr>
            </w:pPr>
            <w:r>
              <w:rPr>
                <w:rFonts w:cs="Times New Roman"/>
                <w:b/>
                <w:szCs w:val="24"/>
              </w:rPr>
              <w:t>5 500</w:t>
            </w:r>
          </w:p>
        </w:tc>
        <w:tc>
          <w:tcPr>
            <w:tcW w:w="1837" w:type="dxa"/>
          </w:tcPr>
          <w:p w14:paraId="0C023683" w14:textId="7697D0A5" w:rsidR="00693D8F" w:rsidRDefault="006124E6" w:rsidP="00CC785E">
            <w:pPr>
              <w:jc w:val="right"/>
              <w:rPr>
                <w:rFonts w:cs="Times New Roman"/>
                <w:b/>
                <w:szCs w:val="24"/>
              </w:rPr>
            </w:pPr>
            <w:r>
              <w:rPr>
                <w:rFonts w:cs="Times New Roman"/>
                <w:b/>
                <w:szCs w:val="24"/>
              </w:rPr>
              <w:t>2 973</w:t>
            </w:r>
          </w:p>
        </w:tc>
      </w:tr>
    </w:tbl>
    <w:p w14:paraId="1CAD5D59" w14:textId="77777777" w:rsidR="00693D8F" w:rsidRPr="00FF1BB8" w:rsidRDefault="00693D8F" w:rsidP="00CC785E">
      <w:pPr>
        <w:spacing w:line="240" w:lineRule="auto"/>
        <w:jc w:val="left"/>
        <w:rPr>
          <w:rFonts w:cs="Times New Roman"/>
          <w:b/>
          <w:szCs w:val="24"/>
        </w:rPr>
      </w:pPr>
    </w:p>
    <w:tbl>
      <w:tblPr>
        <w:tblStyle w:val="TableGrid"/>
        <w:tblW w:w="0" w:type="auto"/>
        <w:tblLook w:val="04A0" w:firstRow="1" w:lastRow="0" w:firstColumn="1" w:lastColumn="0" w:noHBand="0" w:noVBand="1"/>
      </w:tblPr>
      <w:tblGrid>
        <w:gridCol w:w="4815"/>
        <w:gridCol w:w="2410"/>
        <w:gridCol w:w="1837"/>
      </w:tblGrid>
      <w:tr w:rsidR="00693D8F" w14:paraId="4893A051" w14:textId="77777777" w:rsidTr="006124E6">
        <w:tc>
          <w:tcPr>
            <w:tcW w:w="4815" w:type="dxa"/>
          </w:tcPr>
          <w:p w14:paraId="41E2EFE1" w14:textId="77777777" w:rsidR="00693D8F" w:rsidRPr="00727C72" w:rsidRDefault="00693D8F" w:rsidP="00CC785E">
            <w:pPr>
              <w:jc w:val="left"/>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2410" w:type="dxa"/>
          </w:tcPr>
          <w:p w14:paraId="3A196EB1" w14:textId="77777777" w:rsidR="00693D8F" w:rsidRDefault="00693D8F" w:rsidP="00CC785E">
            <w:pPr>
              <w:jc w:val="left"/>
              <w:rPr>
                <w:rFonts w:cs="Times New Roman"/>
                <w:b/>
                <w:szCs w:val="24"/>
              </w:rPr>
            </w:pPr>
            <w:r>
              <w:rPr>
                <w:rFonts w:cs="Times New Roman"/>
                <w:b/>
                <w:szCs w:val="24"/>
              </w:rPr>
              <w:t>Planeeritud summa</w:t>
            </w:r>
          </w:p>
        </w:tc>
        <w:tc>
          <w:tcPr>
            <w:tcW w:w="1837" w:type="dxa"/>
          </w:tcPr>
          <w:p w14:paraId="7CB861FA" w14:textId="77777777" w:rsidR="00693D8F" w:rsidRDefault="00693D8F" w:rsidP="00CC785E">
            <w:pPr>
              <w:jc w:val="left"/>
              <w:rPr>
                <w:rFonts w:cs="Times New Roman"/>
                <w:b/>
                <w:szCs w:val="24"/>
              </w:rPr>
            </w:pPr>
            <w:r>
              <w:rPr>
                <w:rFonts w:cs="Times New Roman"/>
                <w:b/>
                <w:szCs w:val="24"/>
              </w:rPr>
              <w:t>Tegelik summa</w:t>
            </w:r>
          </w:p>
        </w:tc>
      </w:tr>
      <w:tr w:rsidR="00693D8F" w14:paraId="12DB6F8E" w14:textId="77777777" w:rsidTr="006124E6">
        <w:tc>
          <w:tcPr>
            <w:tcW w:w="4815" w:type="dxa"/>
          </w:tcPr>
          <w:p w14:paraId="627A1DDD" w14:textId="77777777" w:rsidR="00693D8F" w:rsidRPr="00727C72" w:rsidRDefault="00693D8F" w:rsidP="00CC785E">
            <w:pPr>
              <w:jc w:val="left"/>
              <w:rPr>
                <w:rFonts w:cs="Times New Roman"/>
                <w:szCs w:val="24"/>
              </w:rPr>
            </w:pPr>
            <w:r>
              <w:rPr>
                <w:rFonts w:cs="Times New Roman"/>
                <w:szCs w:val="24"/>
              </w:rPr>
              <w:t>Omafinantseering</w:t>
            </w:r>
          </w:p>
        </w:tc>
        <w:tc>
          <w:tcPr>
            <w:tcW w:w="2410" w:type="dxa"/>
          </w:tcPr>
          <w:p w14:paraId="01D88A58" w14:textId="392C44D3" w:rsidR="00693D8F" w:rsidRPr="006124E6" w:rsidRDefault="006124E6" w:rsidP="006124E6">
            <w:pPr>
              <w:jc w:val="right"/>
              <w:rPr>
                <w:rFonts w:cs="Times New Roman"/>
                <w:bCs/>
                <w:szCs w:val="24"/>
              </w:rPr>
            </w:pPr>
            <w:r w:rsidRPr="006124E6">
              <w:rPr>
                <w:rFonts w:cs="Times New Roman"/>
                <w:bCs/>
                <w:szCs w:val="24"/>
              </w:rPr>
              <w:t>0</w:t>
            </w:r>
          </w:p>
        </w:tc>
        <w:tc>
          <w:tcPr>
            <w:tcW w:w="1837" w:type="dxa"/>
          </w:tcPr>
          <w:p w14:paraId="6B400A63" w14:textId="2EF02756" w:rsidR="00693D8F" w:rsidRPr="006124E6" w:rsidRDefault="006124E6" w:rsidP="006124E6">
            <w:pPr>
              <w:jc w:val="right"/>
              <w:rPr>
                <w:rFonts w:cs="Times New Roman"/>
                <w:bCs/>
                <w:szCs w:val="24"/>
              </w:rPr>
            </w:pPr>
            <w:r>
              <w:rPr>
                <w:rFonts w:cs="Times New Roman"/>
                <w:bCs/>
                <w:szCs w:val="24"/>
              </w:rPr>
              <w:t>223</w:t>
            </w:r>
          </w:p>
        </w:tc>
      </w:tr>
      <w:tr w:rsidR="00693D8F" w14:paraId="734A75D1" w14:textId="77777777" w:rsidTr="006124E6">
        <w:tc>
          <w:tcPr>
            <w:tcW w:w="4815" w:type="dxa"/>
          </w:tcPr>
          <w:p w14:paraId="0753613F" w14:textId="607DC971" w:rsidR="00693D8F" w:rsidRPr="00727C72" w:rsidRDefault="00CC785E" w:rsidP="00CC785E">
            <w:pPr>
              <w:jc w:val="left"/>
              <w:rPr>
                <w:rFonts w:cs="Times New Roman"/>
                <w:szCs w:val="24"/>
              </w:rPr>
            </w:pPr>
            <w:r>
              <w:rPr>
                <w:rFonts w:cs="Times New Roman"/>
                <w:szCs w:val="24"/>
              </w:rPr>
              <w:t>Erakopeerimise fond</w:t>
            </w:r>
          </w:p>
        </w:tc>
        <w:tc>
          <w:tcPr>
            <w:tcW w:w="2410" w:type="dxa"/>
          </w:tcPr>
          <w:p w14:paraId="24C66C61" w14:textId="4D693A6B" w:rsidR="00693D8F" w:rsidRPr="006124E6" w:rsidRDefault="006124E6" w:rsidP="006124E6">
            <w:pPr>
              <w:jc w:val="right"/>
              <w:rPr>
                <w:rFonts w:cs="Times New Roman"/>
                <w:bCs/>
                <w:szCs w:val="24"/>
              </w:rPr>
            </w:pPr>
            <w:r w:rsidRPr="006124E6">
              <w:rPr>
                <w:rFonts w:cs="Times New Roman"/>
                <w:bCs/>
                <w:szCs w:val="24"/>
              </w:rPr>
              <w:t>5 500</w:t>
            </w:r>
          </w:p>
        </w:tc>
        <w:tc>
          <w:tcPr>
            <w:tcW w:w="1837" w:type="dxa"/>
          </w:tcPr>
          <w:p w14:paraId="6B388B72" w14:textId="02E3688C" w:rsidR="00693D8F" w:rsidRPr="006124E6" w:rsidRDefault="006124E6" w:rsidP="006124E6">
            <w:pPr>
              <w:jc w:val="right"/>
              <w:rPr>
                <w:rFonts w:cs="Times New Roman"/>
                <w:bCs/>
                <w:szCs w:val="24"/>
              </w:rPr>
            </w:pPr>
            <w:r w:rsidRPr="006124E6">
              <w:rPr>
                <w:rFonts w:cs="Times New Roman"/>
                <w:bCs/>
                <w:szCs w:val="24"/>
              </w:rPr>
              <w:t>2 750</w:t>
            </w:r>
          </w:p>
        </w:tc>
      </w:tr>
      <w:tr w:rsidR="00693D8F" w14:paraId="5AA17878" w14:textId="77777777" w:rsidTr="006124E6">
        <w:trPr>
          <w:trHeight w:val="220"/>
        </w:trPr>
        <w:tc>
          <w:tcPr>
            <w:tcW w:w="4815" w:type="dxa"/>
          </w:tcPr>
          <w:p w14:paraId="31E61BB6" w14:textId="77777777" w:rsidR="00693D8F" w:rsidRDefault="00693D8F" w:rsidP="004A5EFC">
            <w:pPr>
              <w:spacing w:line="360" w:lineRule="auto"/>
              <w:rPr>
                <w:rFonts w:cs="Times New Roman"/>
                <w:b/>
                <w:szCs w:val="24"/>
              </w:rPr>
            </w:pPr>
            <w:r>
              <w:rPr>
                <w:rFonts w:cs="Times New Roman"/>
                <w:b/>
                <w:szCs w:val="24"/>
              </w:rPr>
              <w:t>Tulud kokku</w:t>
            </w:r>
          </w:p>
        </w:tc>
        <w:tc>
          <w:tcPr>
            <w:tcW w:w="2410" w:type="dxa"/>
          </w:tcPr>
          <w:p w14:paraId="63C1EAAF" w14:textId="42E4A455" w:rsidR="00693D8F" w:rsidRDefault="006124E6" w:rsidP="006124E6">
            <w:pPr>
              <w:spacing w:line="360" w:lineRule="auto"/>
              <w:jc w:val="right"/>
              <w:rPr>
                <w:rFonts w:cs="Times New Roman"/>
                <w:b/>
                <w:szCs w:val="24"/>
              </w:rPr>
            </w:pPr>
            <w:r>
              <w:rPr>
                <w:rFonts w:cs="Times New Roman"/>
                <w:b/>
                <w:szCs w:val="24"/>
              </w:rPr>
              <w:t>5 500</w:t>
            </w:r>
          </w:p>
        </w:tc>
        <w:tc>
          <w:tcPr>
            <w:tcW w:w="1837" w:type="dxa"/>
          </w:tcPr>
          <w:p w14:paraId="2155260D" w14:textId="06B25783" w:rsidR="00693D8F" w:rsidRDefault="006124E6" w:rsidP="006124E6">
            <w:pPr>
              <w:spacing w:line="360" w:lineRule="auto"/>
              <w:jc w:val="right"/>
              <w:rPr>
                <w:rFonts w:cs="Times New Roman"/>
                <w:b/>
                <w:szCs w:val="24"/>
              </w:rPr>
            </w:pPr>
            <w:r>
              <w:rPr>
                <w:rFonts w:cs="Times New Roman"/>
                <w:b/>
                <w:szCs w:val="24"/>
              </w:rPr>
              <w:t>2 973</w:t>
            </w:r>
          </w:p>
        </w:tc>
      </w:tr>
    </w:tbl>
    <w:p w14:paraId="7F9772D3" w14:textId="77777777" w:rsidR="00693D8F" w:rsidRPr="00FF7991" w:rsidRDefault="00693D8F" w:rsidP="00693D8F">
      <w:pPr>
        <w:jc w:val="left"/>
        <w:rPr>
          <w:b/>
          <w:bCs/>
          <w:color w:val="000000" w:themeColor="text1"/>
        </w:rPr>
      </w:pPr>
    </w:p>
    <w:p w14:paraId="62E833A7" w14:textId="77777777" w:rsidR="00572FA1" w:rsidRDefault="00572FA1"/>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74C"/>
    <w:multiLevelType w:val="multilevel"/>
    <w:tmpl w:val="86D8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A0F50"/>
    <w:multiLevelType w:val="multilevel"/>
    <w:tmpl w:val="2C2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70EAB"/>
    <w:multiLevelType w:val="multilevel"/>
    <w:tmpl w:val="E05C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8F1F8A"/>
    <w:multiLevelType w:val="multilevel"/>
    <w:tmpl w:val="2DDE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884762">
    <w:abstractNumId w:val="0"/>
  </w:num>
  <w:num w:numId="2" w16cid:durableId="1883519370">
    <w:abstractNumId w:val="1"/>
  </w:num>
  <w:num w:numId="3" w16cid:durableId="2087191183">
    <w:abstractNumId w:val="2"/>
  </w:num>
  <w:num w:numId="4" w16cid:durableId="1149052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8F"/>
    <w:rsid w:val="00012267"/>
    <w:rsid w:val="00055BCB"/>
    <w:rsid w:val="000D3669"/>
    <w:rsid w:val="001518E0"/>
    <w:rsid w:val="001F7DEE"/>
    <w:rsid w:val="002C6797"/>
    <w:rsid w:val="002D2CE2"/>
    <w:rsid w:val="00354DA5"/>
    <w:rsid w:val="003E3E5C"/>
    <w:rsid w:val="00492724"/>
    <w:rsid w:val="0054548D"/>
    <w:rsid w:val="005612C2"/>
    <w:rsid w:val="00572FA1"/>
    <w:rsid w:val="005C2C0D"/>
    <w:rsid w:val="006124E6"/>
    <w:rsid w:val="00652EE9"/>
    <w:rsid w:val="00693D8F"/>
    <w:rsid w:val="008C6F14"/>
    <w:rsid w:val="00995622"/>
    <w:rsid w:val="00AD53CD"/>
    <w:rsid w:val="00CA0B59"/>
    <w:rsid w:val="00CA7705"/>
    <w:rsid w:val="00CC785E"/>
    <w:rsid w:val="00D111D2"/>
    <w:rsid w:val="00FA26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982"/>
  <w15:chartTrackingRefBased/>
  <w15:docId w15:val="{DEC5BAC1-7D9C-4B9F-B21C-9F2B8FFC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8F"/>
    <w:pPr>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D8F"/>
    <w:rPr>
      <w:color w:val="0000FF"/>
      <w:u w:val="single"/>
    </w:rPr>
  </w:style>
  <w:style w:type="table" w:styleId="TableGrid">
    <w:name w:val="Table Grid"/>
    <w:basedOn w:val="TableNormal"/>
    <w:uiPriority w:val="39"/>
    <w:rsid w:val="00693D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us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3907</Characters>
  <Application>Microsoft Office Word</Application>
  <DocSecurity>0</DocSecurity>
  <Lines>32</Lines>
  <Paragraphs>9</Paragraphs>
  <ScaleCrop>false</ScaleCrop>
  <Company>Registrite ja Infosüsteemide Keskus</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Piret Tibbo-Hudgins</cp:lastModifiedBy>
  <cp:revision>2</cp:revision>
  <dcterms:created xsi:type="dcterms:W3CDTF">2024-02-26T21:29:00Z</dcterms:created>
  <dcterms:modified xsi:type="dcterms:W3CDTF">2024-02-26T21:29:00Z</dcterms:modified>
</cp:coreProperties>
</file>